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9EDD" w14:textId="77777777" w:rsidR="00056300" w:rsidRPr="00056300" w:rsidRDefault="00056300" w:rsidP="0005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300">
        <w:rPr>
          <w:rFonts w:ascii="Times New Roman" w:eastAsia="Times New Roman" w:hAnsi="Times New Roman" w:cs="Times New Roman"/>
          <w:noProof/>
          <w:color w:val="134FB8"/>
          <w:sz w:val="24"/>
          <w:szCs w:val="24"/>
          <w:lang w:eastAsia="it-IT"/>
        </w:rPr>
        <w:drawing>
          <wp:inline distT="0" distB="0" distL="0" distR="0" wp14:anchorId="2E40B423" wp14:editId="034B6A47">
            <wp:extent cx="1905000" cy="1143000"/>
            <wp:effectExtent l="0" t="0" r="0" b="0"/>
            <wp:docPr id="29" name="Immagine 29" descr="Home">
              <a:hlinkClick xmlns:a="http://schemas.openxmlformats.org/drawingml/2006/main" r:id="rId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ome">
                      <a:hlinkClick r:id="rId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119A" w14:textId="01174EBB" w:rsidR="00056300" w:rsidRPr="00056300" w:rsidRDefault="00056300" w:rsidP="0005630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300">
        <w:rPr>
          <w:rFonts w:ascii="Work Sans" w:eastAsia="Times New Roman" w:hAnsi="Work Sans" w:cs="Times New Roman"/>
          <w:b/>
          <w:bCs/>
          <w:color w:val="216FC8"/>
          <w:kern w:val="36"/>
          <w:sz w:val="36"/>
          <w:szCs w:val="36"/>
          <w:lang w:eastAsia="it-IT"/>
        </w:rPr>
        <w:t>Musei: quale contributo alla sostenibilità ambientale?</w:t>
      </w:r>
    </w:p>
    <w:p w14:paraId="0C81AA32" w14:textId="77777777" w:rsidR="00056300" w:rsidRPr="00056300" w:rsidRDefault="00056300" w:rsidP="00056300">
      <w:pPr>
        <w:spacing w:after="165" w:line="240" w:lineRule="auto"/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</w:pPr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“I musei non sono più solo al servizio della società, ma al servizio della società per il suo sviluppo sostenibile”. Tiziana Maffei, presidente ICOM Italia, ad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ArtLab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19 Milano ci ha ricordato la definizione di musei proposta da ICOM, alla luce della sempre più urgente questione del global warming. Ma in che modo i musei possono offrire il proprio contributo alla causa?</w:t>
      </w:r>
    </w:p>
    <w:p w14:paraId="656AFC08" w14:textId="77777777" w:rsidR="00056300" w:rsidRPr="00056300" w:rsidRDefault="00056300" w:rsidP="00056300">
      <w:pPr>
        <w:spacing w:after="165" w:line="240" w:lineRule="auto"/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</w:pPr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Più di 150 leader internazionali nel 2015 si sono incontrati alle Nazioni Unite per contribuire allo sviluppo globale, promuovere il benessere umano e proteggere l’ambiente. Da questo incontro nasce l’Agenda 2030 per lo sviluppo sostenibile che individua 17 obiettivi (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Sustainable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Development Goals) che mirano a porre fine alla povertà, all'ineguaglianza e allo sviluppo sociale ed economico. Di fondamentale importanza la presa d’atto della necessità di affrontare i cambiamenti climatici per costruire società pacifiche entro l'anno 2030. Non sarà facile raggiungere gli obiettivi in 15 anni, ma l’impulso dato alla discussione sta generando sempre nuovi esempi di best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practice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in tutto il mondo.</w:t>
      </w:r>
    </w:p>
    <w:p w14:paraId="54539DC4" w14:textId="77777777" w:rsidR="00056300" w:rsidRPr="00056300" w:rsidRDefault="00056300" w:rsidP="00056300">
      <w:pPr>
        <w:spacing w:after="165" w:line="240" w:lineRule="auto"/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</w:pPr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Inevitabilmente la sfida è stata raccolta anche dalle istituzioni culturali che assumono su di sé nuovi ruoli all’interno della società contemporanea. Il saggio “Musei per la sostenibilità integrata” della collana Geografie Culturali - edito da Editrice Bibliografica -  di Michela Rota, esperta di museologia e sostenibilità, ci racconta come molti musei debbano ancora affrontare questa sfida in maniera sistematica sia nella pianificazione di gestione interna che nell’offerta culturale e didattica (</w:t>
      </w:r>
      <w:hyperlink r:id="rId7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).</w:t>
      </w:r>
    </w:p>
    <w:p w14:paraId="26D84065" w14:textId="77777777" w:rsidR="00056300" w:rsidRPr="00056300" w:rsidRDefault="00056300" w:rsidP="00056300">
      <w:pPr>
        <w:spacing w:after="165" w:line="240" w:lineRule="auto"/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</w:pPr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Il panel La responsabilità dei musei nello sviluppo sostenibile ha riunito intorno a un tavolo diverse personalità di istituzioni pubbliche e private ed esperti che hanno declinato il loro agire alla luce della questione della salvaguardia dell’ambiente.</w:t>
      </w:r>
    </w:p>
    <w:p w14:paraId="512B3483" w14:textId="77777777" w:rsidR="00056300" w:rsidRPr="00056300" w:rsidRDefault="00056300" w:rsidP="00056300">
      <w:pPr>
        <w:spacing w:after="165" w:line="240" w:lineRule="auto"/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</w:pPr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Da un lato pratiche di gestione interna che minimizzino l’impatto ambientale, dall’altro l’adozione di una serie di programmi educativi e didattici che coniughino la mission specifica delle istituzioni culturali all’esigenza di sensibilizzazione rispetto alle tematiche ambientali: sono questi i due ambiti d’azione sui quali i musei hanno il dovere di concentrare i propri sforzi.</w:t>
      </w:r>
    </w:p>
    <w:p w14:paraId="19C178B7" w14:textId="3E6823DD" w:rsidR="00056300" w:rsidRPr="00056300" w:rsidRDefault="00056300" w:rsidP="00056300">
      <w:pPr>
        <w:spacing w:after="0" w:line="240" w:lineRule="auto"/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</w:pPr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Interventi di riqualificazione energetica, integrazione di servizi e la gestione intelligente delle città sono le linee guida di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Iren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Energia Smart Solutions, di cui ci ha parlato Donatella Davoli, direttore generale dell’azienda che sta investendo nella sostenibilità energetica e nella diffusione di comportamenti virtuosi (</w:t>
      </w:r>
      <w:hyperlink r:id="rId8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). Michele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Lanzinger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, direttore del MUSE - Museo delle Scienze di Trento, ha sottolineato come “identificare e perseguire nuovi significati per il patrimonio culturale andando incontro alle diverse e plurime </w:t>
      </w:r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lastRenderedPageBreak/>
        <w:t>nuove comunità di fruizione, nel museo e sul territorio, sia fondamentale” (</w:t>
      </w:r>
      <w:hyperlink r:id="rId9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). Insieme a loro Paolo Legato, direttore del Museo A come Ambiente -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MAcA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, unica realtà in Europa interamente dedicata ai temi della sostenibilità ambientale (</w:t>
      </w:r>
      <w:hyperlink r:id="rId10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). Dall’Europa Bridget McKenzie, fondatrice del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Climate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Museum UK, che ha posto una domanda cruciale a </w:t>
      </w:r>
      <w:proofErr w:type="gram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se</w:t>
      </w:r>
      <w:proofErr w:type="gram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 stessa e al nostro pubblico: in un pianeta che vive l’emergenza climatica, che tipo di museo è possibile? (</w:t>
      </w:r>
      <w:hyperlink r:id="rId11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) La testimonianza di Peter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Shalk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, vice direttore del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Naturalis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Biodiversity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Center di Leiden, centro di ricerca che opera a livello internazionale con oltre 120 scienziati e 200 ricercatori che studiano  biodiversità e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geodiversità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e ospita una delle più grandi collezioni di storia naturale del mondo (</w:t>
      </w:r>
      <w:hyperlink r:id="rId12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).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Morien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Rees, consulente per lo sviluppo del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Varanger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Musem</w:t>
      </w:r>
      <w:proofErr w:type="spellEnd"/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 xml:space="preserve"> e Presidente del gruppo ICOM sulla sostenibilità, ha sottolineato la necessità che i musei diventino dei poli di aggregazione delle comunità per favorire il passaggio da una società di consumo di massa ad una futura società sostenibile (</w:t>
      </w:r>
      <w:hyperlink r:id="rId13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). Lucia Pini, del coordinamento regionale Lombardia di ICOM Italia, ha sottoposto alla platea un’ipotesi di questionario da somministrare ai musei sul riciclo degli allestimenti (</w:t>
      </w:r>
      <w:hyperlink r:id="rId14" w:history="1">
        <w:r w:rsidRPr="00056300">
          <w:rPr>
            <w:rFonts w:ascii="Work Sans" w:eastAsia="Times New Roman" w:hAnsi="Work Sans" w:cs="Times New Roman"/>
            <w:color w:val="4582EC"/>
            <w:sz w:val="24"/>
            <w:szCs w:val="24"/>
            <w:u w:val="single"/>
            <w:lang w:eastAsia="it-IT"/>
          </w:rPr>
          <w:t>scarica la presentazione</w:t>
        </w:r>
      </w:hyperlink>
      <w:r w:rsidRPr="00056300">
        <w:rPr>
          <w:rFonts w:ascii="Work Sans" w:eastAsia="Times New Roman" w:hAnsi="Work Sans" w:cs="Times New Roman"/>
          <w:color w:val="333333"/>
          <w:sz w:val="24"/>
          <w:szCs w:val="24"/>
          <w:lang w:eastAsia="it-IT"/>
        </w:rPr>
        <w:t>)</w:t>
      </w:r>
    </w:p>
    <w:p w14:paraId="74062162" w14:textId="77777777" w:rsidR="002F2701" w:rsidRDefault="002F2701"/>
    <w:sectPr w:rsidR="002F2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20D3"/>
    <w:multiLevelType w:val="multilevel"/>
    <w:tmpl w:val="074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31A93"/>
    <w:multiLevelType w:val="multilevel"/>
    <w:tmpl w:val="6BA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00"/>
    <w:rsid w:val="00056300"/>
    <w:rsid w:val="0007149E"/>
    <w:rsid w:val="002F2701"/>
    <w:rsid w:val="0034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C6F7"/>
  <w15:chartTrackingRefBased/>
  <w15:docId w15:val="{1308F853-0F9B-4BAE-B78E-FA88D613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DDDDDD"/>
                <w:bottom w:val="none" w:sz="0" w:space="0" w:color="DDDDDD"/>
                <w:right w:val="none" w:sz="0" w:space="11" w:color="DDDDDD"/>
              </w:divBdr>
            </w:div>
          </w:divsChild>
        </w:div>
        <w:div w:id="708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869">
                      <w:marLeft w:val="7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lab.fitzcarraldo.it/sites/default/files/3.%20Donatella%20Davoli_PDF.pdf" TargetMode="External"/><Relationship Id="rId13" Type="http://schemas.openxmlformats.org/officeDocument/2006/relationships/hyperlink" Target="https://artlab.fitzcarraldo.it/sites/default/files/9.%20Morien%20Rees_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lab.fitzcarraldo.it/sites/default/files/2.Michela%20Rota_PDF.pdf" TargetMode="External"/><Relationship Id="rId12" Type="http://schemas.openxmlformats.org/officeDocument/2006/relationships/hyperlink" Target="https://artlab.fitzcarraldo.it/sites/default/files/8.%20Peter%20Schalk_PDF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rtlab.fitzcarraldo.it/sites/default/files/6.%20Bridget%20McKenzie_PDF.pdf" TargetMode="External"/><Relationship Id="rId5" Type="http://schemas.openxmlformats.org/officeDocument/2006/relationships/hyperlink" Target="https://artlab.fitzcarraldo.it/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tlab.fitzcarraldo.it/sites/default/files/5.Paolo%20Lega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lab.fitzcarraldo.it/sites/default/files/4.%20Michele%20Lanzinger_PDF.pdf" TargetMode="External"/><Relationship Id="rId14" Type="http://schemas.openxmlformats.org/officeDocument/2006/relationships/hyperlink" Target="https://artlab.fitzcarraldo.it/sites/default/files/7.%20Lucia%20Pini_PDF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</dc:creator>
  <cp:keywords/>
  <dc:description/>
  <cp:lastModifiedBy>iolanda</cp:lastModifiedBy>
  <cp:revision>2</cp:revision>
  <dcterms:created xsi:type="dcterms:W3CDTF">2021-11-18T08:57:00Z</dcterms:created>
  <dcterms:modified xsi:type="dcterms:W3CDTF">2021-11-18T08:57:00Z</dcterms:modified>
</cp:coreProperties>
</file>